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B2855" w14:textId="77777777" w:rsidR="00A727EF" w:rsidRPr="003F3C60" w:rsidRDefault="00A727EF" w:rsidP="00F22564">
      <w:pPr>
        <w:pStyle w:val="berschrift3"/>
        <w:rPr>
          <w:sz w:val="24"/>
          <w:szCs w:val="24"/>
        </w:rPr>
      </w:pPr>
      <w:bookmarkStart w:id="0" w:name="_Toc486319007"/>
      <w:r>
        <w:rPr>
          <w:sz w:val="24"/>
          <w:szCs w:val="24"/>
        </w:rPr>
        <w:t xml:space="preserve">Eclipse </w:t>
      </w:r>
      <w:proofErr w:type="spellStart"/>
      <w:r>
        <w:rPr>
          <w:sz w:val="24"/>
          <w:szCs w:val="24"/>
        </w:rPr>
        <w:t>IoT-Testware</w:t>
      </w:r>
      <w:proofErr w:type="spellEnd"/>
      <w:r w:rsidRPr="003F3C60">
        <w:rPr>
          <w:sz w:val="24"/>
          <w:szCs w:val="24"/>
        </w:rPr>
        <w:t xml:space="preserve"> </w:t>
      </w:r>
      <w:r w:rsidRPr="00A727EF">
        <w:rPr>
          <w:b w:val="0"/>
          <w:sz w:val="24"/>
          <w:szCs w:val="24"/>
        </w:rPr>
        <w:t>(https://projects.eclipse.org/projects/technology.iottestware)</w:t>
      </w:r>
      <w:bookmarkEnd w:id="0"/>
    </w:p>
    <w:p w14:paraId="34670877" w14:textId="77777777" w:rsidR="00A727EF" w:rsidRDefault="00A727EF" w:rsidP="0093376D">
      <w:pPr>
        <w:jc w:val="left"/>
        <w:rPr>
          <w:color w:val="C00000"/>
          <w:sz w:val="24"/>
          <w:szCs w:val="24"/>
          <w:lang w:val="en-GB"/>
        </w:rPr>
      </w:pPr>
    </w:p>
    <w:p w14:paraId="6FBC90EC" w14:textId="68CC2AF1" w:rsidR="00472FFC" w:rsidRPr="004975CB" w:rsidRDefault="00472FFC" w:rsidP="0093376D">
      <w:pPr>
        <w:pStyle w:val="Listenabsatz"/>
        <w:numPr>
          <w:ilvl w:val="0"/>
          <w:numId w:val="1"/>
        </w:numPr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lang w:val="en-GB"/>
        </w:rPr>
        <w:t>Description</w:t>
      </w:r>
      <w:r>
        <w:rPr>
          <w:sz w:val="24"/>
          <w:szCs w:val="24"/>
          <w:lang w:val="en-GB"/>
        </w:rPr>
        <w:t xml:space="preserve">: </w:t>
      </w:r>
      <w:r w:rsidR="0093376D">
        <w:rPr>
          <w:sz w:val="24"/>
          <w:szCs w:val="24"/>
          <w:lang w:val="en-GB"/>
        </w:rPr>
        <w:br/>
      </w:r>
      <w:r w:rsidRPr="0093376D">
        <w:rPr>
          <w:lang w:val="en-GB"/>
        </w:rPr>
        <w:t>It is the aim of the project to supply a rich set of TTCN-3 test suites and test cases for IoT technologies to enable developers in setting up a comprehensive test environment of their own, if needed from the beginning of a project. TTCN-3 has been defined and standardized by the European Telecommunication Standards Institute in ETSI ES</w:t>
      </w:r>
      <w:r w:rsidR="00CD52DE">
        <w:rPr>
          <w:lang w:val="en-GB"/>
        </w:rPr>
        <w:t> </w:t>
      </w:r>
      <w:r w:rsidRPr="0093376D">
        <w:rPr>
          <w:lang w:val="en-GB"/>
        </w:rPr>
        <w:t>201</w:t>
      </w:r>
      <w:r w:rsidR="00CD52DE">
        <w:rPr>
          <w:lang w:val="en-GB"/>
        </w:rPr>
        <w:t> </w:t>
      </w:r>
      <w:r w:rsidRPr="0093376D">
        <w:rPr>
          <w:lang w:val="en-GB"/>
        </w:rPr>
        <w:t xml:space="preserve">873 and related extension packages. It is implemented and supported </w:t>
      </w:r>
      <w:r w:rsidR="00CD52DE">
        <w:rPr>
          <w:lang w:val="en-GB"/>
        </w:rPr>
        <w:t>by the</w:t>
      </w:r>
      <w:r w:rsidRPr="0093376D">
        <w:rPr>
          <w:lang w:val="en-GB"/>
        </w:rPr>
        <w:t xml:space="preserve"> </w:t>
      </w:r>
      <w:proofErr w:type="gramStart"/>
      <w:r w:rsidRPr="0093376D">
        <w:rPr>
          <w:lang w:val="en-GB"/>
        </w:rPr>
        <w:t xml:space="preserve">Eclipse </w:t>
      </w:r>
      <w:r w:rsidR="00CD52DE">
        <w:rPr>
          <w:lang w:val="en-GB"/>
        </w:rPr>
        <w:t xml:space="preserve"> </w:t>
      </w:r>
      <w:r w:rsidRPr="0093376D">
        <w:rPr>
          <w:lang w:val="en-GB"/>
        </w:rPr>
        <w:t>Titan</w:t>
      </w:r>
      <w:proofErr w:type="gramEnd"/>
      <w:r w:rsidRPr="0093376D">
        <w:rPr>
          <w:lang w:val="en-GB"/>
        </w:rPr>
        <w:t xml:space="preserve"> project.</w:t>
      </w:r>
    </w:p>
    <w:p w14:paraId="6FF8D15A" w14:textId="77777777" w:rsidR="004975CB" w:rsidRPr="0093376D" w:rsidRDefault="004975CB" w:rsidP="004975CB">
      <w:pPr>
        <w:pStyle w:val="Listenabsatz"/>
        <w:jc w:val="left"/>
        <w:rPr>
          <w:sz w:val="24"/>
          <w:szCs w:val="24"/>
          <w:lang w:val="en-GB"/>
        </w:rPr>
      </w:pPr>
    </w:p>
    <w:p w14:paraId="3010A9D1" w14:textId="77777777" w:rsidR="00472FFC" w:rsidRPr="004F0651" w:rsidRDefault="00472FFC" w:rsidP="00472FFC">
      <w:pPr>
        <w:pStyle w:val="Listenabsatz"/>
        <w:numPr>
          <w:ilvl w:val="0"/>
          <w:numId w:val="1"/>
        </w:numPr>
        <w:jc w:val="left"/>
        <w:rPr>
          <w:color w:val="C00000"/>
          <w:sz w:val="24"/>
          <w:szCs w:val="24"/>
          <w:lang w:val="en-GB"/>
        </w:rPr>
      </w:pPr>
      <w:r>
        <w:rPr>
          <w:color w:val="C00000"/>
          <w:sz w:val="24"/>
          <w:szCs w:val="24"/>
          <w:lang w:val="en-GB"/>
        </w:rPr>
        <w:t>Readiness</w:t>
      </w:r>
      <w:r w:rsidRPr="004975CB">
        <w:rPr>
          <w:sz w:val="24"/>
          <w:szCs w:val="24"/>
          <w:lang w:val="en-GB"/>
        </w:rPr>
        <w:t>:</w:t>
      </w:r>
    </w:p>
    <w:p w14:paraId="0A4F88FA" w14:textId="77777777" w:rsidR="00472FFC" w:rsidRDefault="00472FFC" w:rsidP="00472FFC">
      <w:pPr>
        <w:ind w:left="1416"/>
        <w:rPr>
          <w:sz w:val="24"/>
          <w:szCs w:val="24"/>
          <w:lang w:val="en-GB"/>
        </w:rPr>
      </w:pPr>
      <w:r>
        <w:rPr>
          <w:lang w:val="en-GB"/>
        </w:rPr>
        <w:t>1</w:t>
      </w:r>
      <w:r>
        <w:rPr>
          <w:sz w:val="24"/>
          <w:szCs w:val="24"/>
          <w:lang w:val="en-GB"/>
        </w:rPr>
        <w:t xml:space="preserve">. Community </w:t>
      </w:r>
    </w:p>
    <w:p w14:paraId="28468E54" w14:textId="77777777" w:rsidR="00472FFC" w:rsidRDefault="00472FFC" w:rsidP="00472FFC">
      <w:pPr>
        <w:numPr>
          <w:ilvl w:val="0"/>
          <w:numId w:val="3"/>
        </w:numPr>
        <w:ind w:left="2136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Multiple organizations.</w:t>
      </w:r>
    </w:p>
    <w:p w14:paraId="35CEE623" w14:textId="77777777" w:rsidR="00472FFC" w:rsidRDefault="00472FFC" w:rsidP="00472FFC">
      <w:pPr>
        <w:ind w:left="141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Commitment</w:t>
      </w:r>
    </w:p>
    <w:p w14:paraId="5D5F9A57" w14:textId="77777777" w:rsidR="00472FFC" w:rsidRDefault="00472FFC" w:rsidP="00472FFC">
      <w:pPr>
        <w:numPr>
          <w:ilvl w:val="0"/>
          <w:numId w:val="4"/>
        </w:numPr>
        <w:ind w:left="2136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Multiple volunteer committers.</w:t>
      </w:r>
    </w:p>
    <w:p w14:paraId="37B0DC57" w14:textId="77777777" w:rsidR="00472FFC" w:rsidRDefault="00472FFC" w:rsidP="00472FFC">
      <w:pPr>
        <w:ind w:left="141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Road map:</w:t>
      </w:r>
    </w:p>
    <w:p w14:paraId="1701BC31" w14:textId="77777777" w:rsidR="00472FFC" w:rsidRDefault="00472FFC" w:rsidP="00472FFC">
      <w:pPr>
        <w:numPr>
          <w:ilvl w:val="0"/>
          <w:numId w:val="5"/>
        </w:numPr>
        <w:ind w:left="2136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Frequent but non planned releases (small extension).</w:t>
      </w:r>
    </w:p>
    <w:p w14:paraId="389D5B53" w14:textId="77777777" w:rsidR="00472FFC" w:rsidRDefault="00472FFC" w:rsidP="00472FFC">
      <w:pPr>
        <w:numPr>
          <w:ilvl w:val="0"/>
          <w:numId w:val="5"/>
        </w:numPr>
        <w:ind w:left="2136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Planned releases (synchronization with standards).</w:t>
      </w:r>
    </w:p>
    <w:p w14:paraId="07C5497C" w14:textId="77777777" w:rsidR="00472FFC" w:rsidRDefault="00472FFC" w:rsidP="00472FFC">
      <w:pPr>
        <w:ind w:left="141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Alignment of ongoing Standards:</w:t>
      </w:r>
    </w:p>
    <w:p w14:paraId="36A0D4B7" w14:textId="77777777" w:rsidR="00472FFC" w:rsidRDefault="00472FFC" w:rsidP="00472FFC">
      <w:pPr>
        <w:numPr>
          <w:ilvl w:val="0"/>
          <w:numId w:val="6"/>
        </w:numPr>
        <w:ind w:left="2136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Not aligned with SDO standards (in case of extended scope).</w:t>
      </w:r>
    </w:p>
    <w:p w14:paraId="530D52EF" w14:textId="77777777" w:rsidR="00472FFC" w:rsidRDefault="00472FFC" w:rsidP="00472FFC">
      <w:pPr>
        <w:numPr>
          <w:ilvl w:val="0"/>
          <w:numId w:val="6"/>
        </w:numPr>
        <w:ind w:left="2136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OSS output is aligned with SDO specifications (in case of updates).</w:t>
      </w:r>
    </w:p>
    <w:p w14:paraId="41338E97" w14:textId="77777777" w:rsidR="00472FFC" w:rsidRDefault="00472FFC" w:rsidP="00472FFC">
      <w:pPr>
        <w:ind w:left="141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 Licensing:</w:t>
      </w:r>
    </w:p>
    <w:p w14:paraId="71F202AE" w14:textId="77777777" w:rsidR="00472FFC" w:rsidRDefault="00472FFC" w:rsidP="00472FFC">
      <w:pPr>
        <w:numPr>
          <w:ilvl w:val="0"/>
          <w:numId w:val="6"/>
        </w:numPr>
        <w:ind w:left="2136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Eclipse Public License 1.0 </w:t>
      </w:r>
    </w:p>
    <w:p w14:paraId="6C5DC684" w14:textId="77777777" w:rsidR="00472FFC" w:rsidRDefault="00472FFC" w:rsidP="00472FFC">
      <w:pPr>
        <w:ind w:left="141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6. Portability:</w:t>
      </w:r>
    </w:p>
    <w:p w14:paraId="6495B927" w14:textId="77777777" w:rsidR="00472FFC" w:rsidRDefault="00472FFC" w:rsidP="00472FFC">
      <w:pPr>
        <w:numPr>
          <w:ilvl w:val="0"/>
          <w:numId w:val="7"/>
        </w:numPr>
        <w:ind w:left="2136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Platform independent.</w:t>
      </w:r>
    </w:p>
    <w:p w14:paraId="5EECE91A" w14:textId="77777777" w:rsidR="00472FFC" w:rsidRDefault="00472FFC" w:rsidP="00472FFC">
      <w:pPr>
        <w:jc w:val="left"/>
        <w:rPr>
          <w:color w:val="C00000"/>
          <w:sz w:val="24"/>
          <w:szCs w:val="24"/>
          <w:lang w:val="en-GB"/>
        </w:rPr>
      </w:pPr>
    </w:p>
    <w:p w14:paraId="41B785C7" w14:textId="77777777" w:rsidR="00472FFC" w:rsidRDefault="00472FFC" w:rsidP="00472FFC">
      <w:pPr>
        <w:pStyle w:val="Listenabsatz"/>
        <w:numPr>
          <w:ilvl w:val="0"/>
          <w:numId w:val="1"/>
        </w:numPr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lang w:val="en-GB"/>
        </w:rPr>
        <w:t>Interoperability level</w:t>
      </w:r>
      <w:r>
        <w:rPr>
          <w:sz w:val="24"/>
          <w:szCs w:val="24"/>
          <w:lang w:val="en-GB"/>
        </w:rPr>
        <w:t>:</w:t>
      </w:r>
    </w:p>
    <w:p w14:paraId="0D399041" w14:textId="7E64B653" w:rsidR="00202350" w:rsidRPr="00202350" w:rsidRDefault="00C05BDA" w:rsidP="00202350">
      <w:pPr>
        <w:pStyle w:val="Listenabsatz"/>
        <w:numPr>
          <w:ilvl w:val="0"/>
          <w:numId w:val="8"/>
        </w:numPr>
        <w:ind w:left="1440"/>
        <w:jc w:val="lef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Technical interoperability: a</w:t>
      </w:r>
      <w:r w:rsidR="00202350">
        <w:rPr>
          <w:color w:val="000000"/>
          <w:sz w:val="24"/>
          <w:szCs w:val="24"/>
          <w:lang w:val="en-GB"/>
        </w:rPr>
        <w:t>ddress</w:t>
      </w:r>
      <w:r w:rsidR="00CD52DE">
        <w:rPr>
          <w:color w:val="000000"/>
          <w:sz w:val="24"/>
          <w:szCs w:val="24"/>
          <w:lang w:val="en-GB"/>
        </w:rPr>
        <w:t>es</w:t>
      </w:r>
      <w:r w:rsidR="00202350" w:rsidRPr="00202350">
        <w:rPr>
          <w:color w:val="000000"/>
          <w:sz w:val="24"/>
          <w:szCs w:val="24"/>
          <w:lang w:val="en-GB"/>
        </w:rPr>
        <w:t xml:space="preserve"> various IoT protocols and platforms</w:t>
      </w:r>
      <w:r w:rsidR="00202350">
        <w:rPr>
          <w:color w:val="000000"/>
          <w:sz w:val="24"/>
          <w:szCs w:val="24"/>
          <w:lang w:val="en-GB"/>
        </w:rPr>
        <w:t xml:space="preserve"> (e.g. CoAP, MQTT, OPC-UA, LwM2M)</w:t>
      </w:r>
      <w:r>
        <w:rPr>
          <w:color w:val="000000"/>
          <w:sz w:val="24"/>
          <w:szCs w:val="24"/>
          <w:lang w:val="en-GB"/>
        </w:rPr>
        <w:t>.</w:t>
      </w:r>
    </w:p>
    <w:p w14:paraId="20461452" w14:textId="5AEA78E5" w:rsidR="00472FFC" w:rsidRPr="00C05BDA" w:rsidRDefault="00472FFC" w:rsidP="00472FFC">
      <w:pPr>
        <w:pStyle w:val="Listenabsatz"/>
        <w:numPr>
          <w:ilvl w:val="0"/>
          <w:numId w:val="8"/>
        </w:numPr>
        <w:ind w:left="1440"/>
        <w:jc w:val="left"/>
        <w:rPr>
          <w:color w:val="000000"/>
          <w:sz w:val="24"/>
          <w:szCs w:val="24"/>
          <w:lang w:val="en-GB"/>
        </w:rPr>
      </w:pPr>
      <w:r w:rsidRPr="00C05BDA">
        <w:rPr>
          <w:color w:val="000000"/>
          <w:sz w:val="24"/>
          <w:szCs w:val="24"/>
          <w:lang w:val="en-GB"/>
        </w:rPr>
        <w:t>Syntactical interoperability</w:t>
      </w:r>
      <w:r w:rsidR="00C05BDA">
        <w:rPr>
          <w:color w:val="000000"/>
          <w:sz w:val="24"/>
          <w:szCs w:val="24"/>
          <w:lang w:val="en-GB"/>
        </w:rPr>
        <w:t xml:space="preserve">: may be subject of future test suites but </w:t>
      </w:r>
      <w:r w:rsidR="00C0209F">
        <w:rPr>
          <w:color w:val="000000"/>
          <w:sz w:val="24"/>
          <w:szCs w:val="24"/>
          <w:lang w:val="en-GB"/>
        </w:rPr>
        <w:t>depend on</w:t>
      </w:r>
      <w:r w:rsidR="00C05BDA">
        <w:rPr>
          <w:color w:val="000000"/>
          <w:sz w:val="24"/>
          <w:szCs w:val="24"/>
          <w:lang w:val="en-GB"/>
        </w:rPr>
        <w:t xml:space="preserve"> developer’s resources and decisions</w:t>
      </w:r>
      <w:r w:rsidRPr="00C05BDA">
        <w:rPr>
          <w:color w:val="000000"/>
          <w:sz w:val="24"/>
          <w:szCs w:val="24"/>
          <w:lang w:val="en-GB"/>
        </w:rPr>
        <w:t>.</w:t>
      </w:r>
    </w:p>
    <w:p w14:paraId="7EE4603D" w14:textId="2D2CFCC4" w:rsidR="00C77844" w:rsidRDefault="00472FFC" w:rsidP="00C77844">
      <w:pPr>
        <w:pStyle w:val="Listenabsatz"/>
        <w:numPr>
          <w:ilvl w:val="0"/>
          <w:numId w:val="1"/>
        </w:numPr>
        <w:jc w:val="left"/>
        <w:rPr>
          <w:sz w:val="24"/>
          <w:szCs w:val="24"/>
          <w:lang w:val="en-GB"/>
        </w:rPr>
      </w:pPr>
      <w:r w:rsidRPr="00C77844">
        <w:rPr>
          <w:color w:val="C00000"/>
          <w:sz w:val="24"/>
          <w:szCs w:val="24"/>
          <w:lang w:val="en-GB"/>
        </w:rPr>
        <w:t>Standards:</w:t>
      </w:r>
      <w:r w:rsidRPr="00C77844">
        <w:rPr>
          <w:sz w:val="24"/>
          <w:szCs w:val="24"/>
          <w:lang w:val="en-GB"/>
        </w:rPr>
        <w:t xml:space="preserve"> </w:t>
      </w:r>
      <w:r w:rsidR="00C77844" w:rsidRPr="00C77844">
        <w:rPr>
          <w:sz w:val="24"/>
          <w:szCs w:val="24"/>
          <w:lang w:val="en-GB"/>
        </w:rPr>
        <w:br/>
        <w:t>V</w:t>
      </w:r>
      <w:r w:rsidR="00AE1362" w:rsidRPr="00C77844">
        <w:rPr>
          <w:sz w:val="24"/>
          <w:szCs w:val="24"/>
          <w:lang w:val="en-GB"/>
        </w:rPr>
        <w:t xml:space="preserve">arious SDO </w:t>
      </w:r>
      <w:r w:rsidR="00CD52DE">
        <w:rPr>
          <w:sz w:val="24"/>
          <w:szCs w:val="24"/>
          <w:lang w:val="en-GB"/>
        </w:rPr>
        <w:t xml:space="preserve">and consortia </w:t>
      </w:r>
      <w:r w:rsidRPr="00C77844">
        <w:rPr>
          <w:sz w:val="24"/>
          <w:szCs w:val="24"/>
          <w:lang w:val="en-GB"/>
        </w:rPr>
        <w:t xml:space="preserve">standards and protocols </w:t>
      </w:r>
      <w:r w:rsidR="00AE1362" w:rsidRPr="00C77844">
        <w:rPr>
          <w:sz w:val="24"/>
          <w:szCs w:val="24"/>
          <w:lang w:val="en-GB"/>
        </w:rPr>
        <w:t>related to the test su</w:t>
      </w:r>
      <w:r w:rsidR="00C77844" w:rsidRPr="00C77844">
        <w:rPr>
          <w:sz w:val="24"/>
          <w:szCs w:val="24"/>
          <w:lang w:val="en-GB"/>
        </w:rPr>
        <w:t>i</w:t>
      </w:r>
      <w:r w:rsidR="00C77844">
        <w:rPr>
          <w:sz w:val="24"/>
          <w:szCs w:val="24"/>
          <w:lang w:val="en-GB"/>
        </w:rPr>
        <w:t xml:space="preserve">tes will be used and </w:t>
      </w:r>
      <w:r w:rsidR="009D0CD1">
        <w:rPr>
          <w:sz w:val="24"/>
          <w:szCs w:val="24"/>
          <w:lang w:val="en-GB"/>
        </w:rPr>
        <w:t>supported;</w:t>
      </w:r>
      <w:r w:rsidR="00C77844">
        <w:rPr>
          <w:sz w:val="24"/>
          <w:szCs w:val="24"/>
          <w:lang w:val="en-GB"/>
        </w:rPr>
        <w:t xml:space="preserve"> sources </w:t>
      </w:r>
      <w:r w:rsidR="009D0CD1">
        <w:rPr>
          <w:sz w:val="24"/>
          <w:szCs w:val="24"/>
          <w:lang w:val="en-GB"/>
        </w:rPr>
        <w:t xml:space="preserve">will </w:t>
      </w:r>
      <w:r w:rsidR="00C77844">
        <w:rPr>
          <w:sz w:val="24"/>
          <w:szCs w:val="24"/>
          <w:lang w:val="en-GB"/>
        </w:rPr>
        <w:t xml:space="preserve">include IETF (CoAP), OASIS (MQTT), </w:t>
      </w:r>
      <w:r w:rsidR="009D0CD1">
        <w:rPr>
          <w:sz w:val="24"/>
          <w:szCs w:val="24"/>
          <w:lang w:val="en-GB"/>
        </w:rPr>
        <w:t xml:space="preserve">OPC Foundation (OPC-UA), OMA (LwM2M) </w:t>
      </w:r>
      <w:r w:rsidR="00C77844">
        <w:rPr>
          <w:sz w:val="24"/>
          <w:szCs w:val="24"/>
          <w:lang w:val="en-GB"/>
        </w:rPr>
        <w:t>etc.</w:t>
      </w:r>
    </w:p>
    <w:p w14:paraId="3BCCDF06" w14:textId="19697CC5" w:rsidR="00EE04BC" w:rsidRPr="00C77844" w:rsidRDefault="005F757C" w:rsidP="00C77844">
      <w:pPr>
        <w:pStyle w:val="Listenabsatz"/>
        <w:jc w:val="left"/>
        <w:rPr>
          <w:sz w:val="24"/>
          <w:szCs w:val="24"/>
          <w:lang w:val="en-GB"/>
        </w:rPr>
      </w:pPr>
      <w:r w:rsidRPr="00C77844">
        <w:rPr>
          <w:color w:val="538135" w:themeColor="accent6" w:themeShade="BF"/>
          <w:sz w:val="24"/>
          <w:szCs w:val="24"/>
          <w:lang w:val="en-GB"/>
        </w:rPr>
        <w:t xml:space="preserve">  </w:t>
      </w:r>
    </w:p>
    <w:p w14:paraId="3D94ADF7" w14:textId="77777777" w:rsidR="00472FFC" w:rsidRDefault="00472FFC" w:rsidP="00AE1362">
      <w:pPr>
        <w:pStyle w:val="Listenabsatz"/>
        <w:numPr>
          <w:ilvl w:val="0"/>
          <w:numId w:val="1"/>
        </w:numPr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lang w:val="en-GB"/>
        </w:rPr>
        <w:t>Supporting organizations</w:t>
      </w:r>
      <w:r>
        <w:rPr>
          <w:sz w:val="24"/>
          <w:szCs w:val="24"/>
          <w:lang w:val="en-GB"/>
        </w:rPr>
        <w:t xml:space="preserve">: </w:t>
      </w:r>
    </w:p>
    <w:p w14:paraId="0BE2ACD5" w14:textId="77777777" w:rsidR="00472FFC" w:rsidRPr="00AE1362" w:rsidRDefault="00472FFC" w:rsidP="00AE1362">
      <w:pPr>
        <w:pStyle w:val="Listenabsatz"/>
        <w:numPr>
          <w:ilvl w:val="0"/>
          <w:numId w:val="8"/>
        </w:numPr>
        <w:ind w:left="1440"/>
        <w:jc w:val="left"/>
        <w:rPr>
          <w:color w:val="000000"/>
          <w:sz w:val="24"/>
          <w:szCs w:val="24"/>
          <w:lang w:val="en-GB"/>
        </w:rPr>
      </w:pPr>
      <w:r w:rsidRPr="00AE1362">
        <w:rPr>
          <w:color w:val="000000"/>
          <w:sz w:val="24"/>
          <w:szCs w:val="24"/>
          <w:lang w:val="en-GB"/>
        </w:rPr>
        <w:t>Fraunhofer FOKUS</w:t>
      </w:r>
    </w:p>
    <w:p w14:paraId="120D2187" w14:textId="77777777" w:rsidR="00472FFC" w:rsidRPr="00AE1362" w:rsidRDefault="00472FFC" w:rsidP="00AE1362">
      <w:pPr>
        <w:pStyle w:val="Listenabsatz"/>
        <w:numPr>
          <w:ilvl w:val="0"/>
          <w:numId w:val="8"/>
        </w:numPr>
        <w:ind w:left="1440"/>
        <w:jc w:val="left"/>
        <w:rPr>
          <w:color w:val="000000"/>
          <w:sz w:val="24"/>
          <w:szCs w:val="24"/>
          <w:lang w:val="en-GB"/>
        </w:rPr>
      </w:pPr>
      <w:proofErr w:type="spellStart"/>
      <w:r w:rsidRPr="00AE1362">
        <w:rPr>
          <w:color w:val="000000"/>
          <w:sz w:val="24"/>
          <w:szCs w:val="24"/>
          <w:lang w:val="en-GB"/>
        </w:rPr>
        <w:t>relayr</w:t>
      </w:r>
      <w:proofErr w:type="spellEnd"/>
      <w:r w:rsidRPr="00AE1362">
        <w:rPr>
          <w:color w:val="000000"/>
          <w:sz w:val="24"/>
          <w:szCs w:val="24"/>
          <w:lang w:val="en-GB"/>
        </w:rPr>
        <w:t xml:space="preserve"> GmbH</w:t>
      </w:r>
    </w:p>
    <w:p w14:paraId="1CCBE9B9" w14:textId="7B9846F3" w:rsidR="00472FFC" w:rsidRPr="00AE1362" w:rsidRDefault="00472FFC" w:rsidP="00AE1362">
      <w:pPr>
        <w:pStyle w:val="Listenabsatz"/>
        <w:numPr>
          <w:ilvl w:val="0"/>
          <w:numId w:val="8"/>
        </w:numPr>
        <w:ind w:left="1440"/>
        <w:jc w:val="left"/>
        <w:rPr>
          <w:color w:val="000000"/>
          <w:sz w:val="24"/>
          <w:szCs w:val="24"/>
          <w:lang w:val="en-GB"/>
        </w:rPr>
      </w:pPr>
      <w:r w:rsidRPr="00AE1362">
        <w:rPr>
          <w:color w:val="000000"/>
          <w:sz w:val="24"/>
          <w:szCs w:val="24"/>
          <w:lang w:val="en-GB"/>
        </w:rPr>
        <w:t xml:space="preserve">Ericsson </w:t>
      </w:r>
    </w:p>
    <w:p w14:paraId="55D22217" w14:textId="77777777" w:rsidR="00472FFC" w:rsidRPr="00AE1362" w:rsidRDefault="00472FFC" w:rsidP="00AE1362">
      <w:pPr>
        <w:pStyle w:val="Listenabsatz"/>
        <w:numPr>
          <w:ilvl w:val="0"/>
          <w:numId w:val="8"/>
        </w:numPr>
        <w:ind w:left="1440"/>
        <w:jc w:val="left"/>
        <w:rPr>
          <w:color w:val="000000"/>
          <w:sz w:val="24"/>
          <w:szCs w:val="24"/>
          <w:lang w:val="en-GB"/>
        </w:rPr>
      </w:pPr>
      <w:r w:rsidRPr="00AE1362">
        <w:rPr>
          <w:color w:val="000000"/>
          <w:sz w:val="24"/>
          <w:szCs w:val="24"/>
          <w:lang w:val="en-GB"/>
        </w:rPr>
        <w:t>Spirent Communication</w:t>
      </w:r>
    </w:p>
    <w:p w14:paraId="7972BBEC" w14:textId="77777777" w:rsidR="00472FFC" w:rsidRPr="00AE1362" w:rsidRDefault="00472FFC" w:rsidP="00AE1362">
      <w:pPr>
        <w:pStyle w:val="Listenabsatz"/>
        <w:numPr>
          <w:ilvl w:val="0"/>
          <w:numId w:val="8"/>
        </w:numPr>
        <w:ind w:left="1440"/>
        <w:jc w:val="left"/>
        <w:rPr>
          <w:color w:val="000000"/>
          <w:sz w:val="24"/>
          <w:szCs w:val="24"/>
          <w:lang w:val="en-GB"/>
        </w:rPr>
      </w:pPr>
      <w:proofErr w:type="spellStart"/>
      <w:r w:rsidRPr="00AE1362">
        <w:rPr>
          <w:color w:val="000000"/>
          <w:sz w:val="24"/>
          <w:szCs w:val="24"/>
          <w:lang w:val="en-GB"/>
        </w:rPr>
        <w:t>Sintesio</w:t>
      </w:r>
      <w:proofErr w:type="spellEnd"/>
      <w:r w:rsidRPr="00AE1362">
        <w:rPr>
          <w:color w:val="000000"/>
          <w:sz w:val="24"/>
          <w:szCs w:val="24"/>
          <w:lang w:val="en-GB"/>
        </w:rPr>
        <w:t xml:space="preserve"> Foundation</w:t>
      </w:r>
    </w:p>
    <w:p w14:paraId="41A03855" w14:textId="7BBD5D60" w:rsidR="00472FFC" w:rsidRDefault="00472FFC" w:rsidP="00AE1362">
      <w:pPr>
        <w:pStyle w:val="Listenabsatz"/>
        <w:numPr>
          <w:ilvl w:val="0"/>
          <w:numId w:val="8"/>
        </w:numPr>
        <w:ind w:left="1440"/>
        <w:jc w:val="left"/>
        <w:rPr>
          <w:color w:val="000000"/>
          <w:sz w:val="24"/>
          <w:szCs w:val="24"/>
          <w:lang w:val="en-GB"/>
        </w:rPr>
      </w:pPr>
      <w:proofErr w:type="spellStart"/>
      <w:r w:rsidRPr="00AE1362">
        <w:rPr>
          <w:color w:val="000000"/>
          <w:sz w:val="24"/>
          <w:szCs w:val="24"/>
          <w:lang w:val="en-GB"/>
        </w:rPr>
        <w:t>EasyGlobalMarket</w:t>
      </w:r>
      <w:proofErr w:type="spellEnd"/>
      <w:r w:rsidRPr="00AE1362">
        <w:rPr>
          <w:color w:val="000000"/>
          <w:sz w:val="24"/>
          <w:szCs w:val="24"/>
          <w:lang w:val="en-GB"/>
        </w:rPr>
        <w:t xml:space="preserve"> (EGM)</w:t>
      </w:r>
    </w:p>
    <w:p w14:paraId="12E0A51F" w14:textId="77777777" w:rsidR="00816A13" w:rsidRPr="00AE1362" w:rsidRDefault="00816A13" w:rsidP="00816A13">
      <w:pPr>
        <w:pStyle w:val="Listenabsatz"/>
        <w:ind w:left="1440"/>
        <w:jc w:val="left"/>
        <w:rPr>
          <w:color w:val="000000"/>
          <w:sz w:val="24"/>
          <w:szCs w:val="24"/>
          <w:lang w:val="en-GB"/>
        </w:rPr>
      </w:pPr>
      <w:bookmarkStart w:id="1" w:name="_GoBack"/>
      <w:bookmarkEnd w:id="1"/>
    </w:p>
    <w:p w14:paraId="56EA6561" w14:textId="77777777" w:rsidR="00FF514E" w:rsidRDefault="00472FFC" w:rsidP="00AE1362">
      <w:pPr>
        <w:pStyle w:val="Listenabsatz"/>
        <w:numPr>
          <w:ilvl w:val="0"/>
          <w:numId w:val="1"/>
        </w:numPr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lang w:val="en-GB"/>
        </w:rPr>
        <w:t>Domain</w:t>
      </w:r>
      <w:r>
        <w:rPr>
          <w:sz w:val="24"/>
          <w:szCs w:val="24"/>
          <w:lang w:val="en-GB"/>
        </w:rPr>
        <w:t xml:space="preserve">: </w:t>
      </w:r>
    </w:p>
    <w:p w14:paraId="79401486" w14:textId="1BE6CB98" w:rsidR="00472FFC" w:rsidRPr="00207D87" w:rsidRDefault="00207D87" w:rsidP="00AE1362">
      <w:pPr>
        <w:pStyle w:val="Listenabsatz"/>
        <w:numPr>
          <w:ilvl w:val="0"/>
          <w:numId w:val="8"/>
        </w:numPr>
        <w:ind w:left="1440"/>
        <w:jc w:val="left"/>
        <w:rPr>
          <w:sz w:val="24"/>
          <w:szCs w:val="24"/>
          <w:lang w:val="en-GB"/>
        </w:rPr>
      </w:pPr>
      <w:r w:rsidRPr="00FF514E">
        <w:rPr>
          <w:sz w:val="24"/>
          <w:szCs w:val="24"/>
          <w:lang w:val="en-GB"/>
        </w:rPr>
        <w:t>Initiative</w:t>
      </w:r>
      <w:r w:rsidR="00FF514E" w:rsidRPr="00FF514E">
        <w:rPr>
          <w:sz w:val="24"/>
          <w:szCs w:val="24"/>
          <w:lang w:val="en-GB"/>
        </w:rPr>
        <w:t xml:space="preserve"> </w:t>
      </w:r>
      <w:proofErr w:type="gramStart"/>
      <w:r w:rsidR="00FF514E" w:rsidRPr="00FF514E">
        <w:rPr>
          <w:sz w:val="24"/>
          <w:szCs w:val="24"/>
          <w:lang w:val="en-GB"/>
        </w:rPr>
        <w:t>is</w:t>
      </w:r>
      <w:r w:rsidR="00472FFC" w:rsidRPr="00FF514E">
        <w:rPr>
          <w:sz w:val="24"/>
          <w:szCs w:val="24"/>
          <w:lang w:val="en-GB"/>
        </w:rPr>
        <w:t xml:space="preserve"> </w:t>
      </w:r>
      <w:r w:rsidR="00472FFC" w:rsidRPr="00AE1362">
        <w:rPr>
          <w:color w:val="000000"/>
          <w:sz w:val="24"/>
          <w:szCs w:val="24"/>
          <w:lang w:val="en-GB"/>
        </w:rPr>
        <w:t>related</w:t>
      </w:r>
      <w:proofErr w:type="gramEnd"/>
      <w:r w:rsidR="00472FFC" w:rsidRPr="00FF514E">
        <w:rPr>
          <w:sz w:val="24"/>
          <w:szCs w:val="24"/>
          <w:lang w:val="en-GB"/>
        </w:rPr>
        <w:t xml:space="preserve"> to </w:t>
      </w:r>
      <w:r w:rsidR="00FF514E" w:rsidRPr="00FF514E">
        <w:rPr>
          <w:sz w:val="24"/>
          <w:szCs w:val="24"/>
          <w:lang w:val="en-GB"/>
        </w:rPr>
        <w:t xml:space="preserve">multiple </w:t>
      </w:r>
      <w:r w:rsidR="00472FFC" w:rsidRPr="00FF514E">
        <w:rPr>
          <w:sz w:val="24"/>
          <w:szCs w:val="24"/>
          <w:lang w:val="en-GB"/>
        </w:rPr>
        <w:t>market domain</w:t>
      </w:r>
      <w:r w:rsidR="00FF514E" w:rsidRPr="00FF514E">
        <w:rPr>
          <w:sz w:val="24"/>
          <w:szCs w:val="24"/>
          <w:lang w:val="en-GB"/>
        </w:rPr>
        <w:t>s</w:t>
      </w:r>
      <w:r w:rsidR="00472FFC" w:rsidRPr="00FF514E">
        <w:rPr>
          <w:sz w:val="24"/>
          <w:szCs w:val="24"/>
          <w:lang w:val="en-GB"/>
        </w:rPr>
        <w:t xml:space="preserve"> (consumer/indus</w:t>
      </w:r>
      <w:r w:rsidR="00FF514E" w:rsidRPr="00FF514E">
        <w:rPr>
          <w:sz w:val="24"/>
          <w:szCs w:val="24"/>
          <w:lang w:val="en-GB"/>
        </w:rPr>
        <w:t>trial internet</w:t>
      </w:r>
      <w:r w:rsidR="00472FFC" w:rsidRPr="00FF514E">
        <w:rPr>
          <w:sz w:val="24"/>
          <w:szCs w:val="24"/>
          <w:lang w:val="en-GB"/>
        </w:rPr>
        <w:t>) and the technical domain (connectivity,</w:t>
      </w:r>
      <w:r w:rsidR="00FF514E" w:rsidRPr="00FF514E">
        <w:rPr>
          <w:sz w:val="24"/>
          <w:szCs w:val="24"/>
          <w:lang w:val="en-GB"/>
        </w:rPr>
        <w:t xml:space="preserve"> </w:t>
      </w:r>
      <w:proofErr w:type="spellStart"/>
      <w:r w:rsidR="00FF514E" w:rsidRPr="00FF514E">
        <w:rPr>
          <w:sz w:val="24"/>
          <w:szCs w:val="24"/>
          <w:lang w:val="en-GB"/>
        </w:rPr>
        <w:t>service&amp;applications</w:t>
      </w:r>
      <w:proofErr w:type="spellEnd"/>
      <w:r w:rsidR="00472FFC" w:rsidRPr="00FF514E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>, i.e.</w:t>
      </w:r>
      <w:r w:rsidR="004975CB">
        <w:rPr>
          <w:sz w:val="24"/>
          <w:szCs w:val="24"/>
          <w:lang w:val="en-GB"/>
        </w:rPr>
        <w:t xml:space="preserve"> in Figure 3</w:t>
      </w:r>
      <w:r w:rsidR="00FF514E" w:rsidRPr="00FF514E">
        <w:rPr>
          <w:sz w:val="24"/>
          <w:szCs w:val="24"/>
          <w:lang w:val="en-GB"/>
        </w:rPr>
        <w:t xml:space="preserve"> </w:t>
      </w:r>
      <w:r w:rsidR="00FF514E" w:rsidRPr="00207D87">
        <w:rPr>
          <w:sz w:val="24"/>
          <w:szCs w:val="24"/>
          <w:lang w:val="en-GB"/>
        </w:rPr>
        <w:t>close to ETSI</w:t>
      </w:r>
      <w:r w:rsidR="004975CB" w:rsidRPr="00207D87">
        <w:rPr>
          <w:sz w:val="24"/>
          <w:szCs w:val="24"/>
          <w:lang w:val="en-GB"/>
        </w:rPr>
        <w:t>’s positions in Figure 1</w:t>
      </w:r>
      <w:r w:rsidR="00FD2557" w:rsidRPr="00207D87">
        <w:rPr>
          <w:sz w:val="24"/>
          <w:szCs w:val="24"/>
          <w:lang w:val="en-GB"/>
        </w:rPr>
        <w:t>.</w:t>
      </w:r>
      <w:r w:rsidR="00DD53A9" w:rsidRPr="00207D87">
        <w:rPr>
          <w:color w:val="538135" w:themeColor="accent6" w:themeShade="BF"/>
          <w:sz w:val="24"/>
          <w:szCs w:val="24"/>
          <w:lang w:val="en-GB"/>
        </w:rPr>
        <w:br/>
      </w:r>
    </w:p>
    <w:p w14:paraId="2A60542A" w14:textId="77777777" w:rsidR="00472FFC" w:rsidRDefault="00472FFC" w:rsidP="00AE1362">
      <w:pPr>
        <w:pStyle w:val="Listenabsatz"/>
        <w:numPr>
          <w:ilvl w:val="0"/>
          <w:numId w:val="1"/>
        </w:numPr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lang w:val="en-GB"/>
        </w:rPr>
        <w:lastRenderedPageBreak/>
        <w:t>Application area</w:t>
      </w:r>
      <w:r>
        <w:rPr>
          <w:sz w:val="24"/>
          <w:szCs w:val="24"/>
          <w:lang w:val="en-GB"/>
        </w:rPr>
        <w:t xml:space="preserve">: </w:t>
      </w:r>
    </w:p>
    <w:p w14:paraId="4C898FEC" w14:textId="77777777" w:rsidR="00472FFC" w:rsidRDefault="00FF514E" w:rsidP="00AE1362">
      <w:pPr>
        <w:pStyle w:val="Listenabsatz"/>
        <w:numPr>
          <w:ilvl w:val="0"/>
          <w:numId w:val="8"/>
        </w:numPr>
        <w:ind w:left="1440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Initiative</w:t>
      </w:r>
      <w:r w:rsidR="00472FFC">
        <w:rPr>
          <w:sz w:val="24"/>
          <w:szCs w:val="24"/>
          <w:lang w:val="en-GB"/>
        </w:rPr>
        <w:t xml:space="preserve"> is focusing on integrated/complete IoT solutions, i.e. horizontal industry, and do not exclude a particular vertical industry</w:t>
      </w:r>
      <w:r>
        <w:rPr>
          <w:sz w:val="24"/>
          <w:szCs w:val="24"/>
          <w:lang w:val="en-GB"/>
        </w:rPr>
        <w:t>.</w:t>
      </w:r>
    </w:p>
    <w:p w14:paraId="54632135" w14:textId="77777777" w:rsidR="00472FFC" w:rsidRDefault="00472FFC" w:rsidP="00AE1362">
      <w:pPr>
        <w:pStyle w:val="Listenabsatz"/>
        <w:numPr>
          <w:ilvl w:val="0"/>
          <w:numId w:val="1"/>
        </w:numPr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lang w:val="en-GB"/>
        </w:rPr>
        <w:t>Scope</w:t>
      </w:r>
      <w:r w:rsidR="001E6519">
        <w:rPr>
          <w:sz w:val="24"/>
          <w:szCs w:val="24"/>
          <w:lang w:val="en-GB"/>
        </w:rPr>
        <w:t>:</w:t>
      </w:r>
    </w:p>
    <w:p w14:paraId="79FDCB3D" w14:textId="77777777" w:rsidR="004F0651" w:rsidRPr="004F0651" w:rsidRDefault="00472FFC" w:rsidP="00AE1362">
      <w:pPr>
        <w:pStyle w:val="Listenabsatz"/>
        <w:numPr>
          <w:ilvl w:val="0"/>
          <w:numId w:val="10"/>
        </w:numPr>
        <w:spacing w:line="276" w:lineRule="auto"/>
        <w:ind w:left="1080"/>
        <w:jc w:val="left"/>
        <w:rPr>
          <w:i/>
          <w:iCs/>
          <w:color w:val="FF0000"/>
          <w:sz w:val="24"/>
          <w:szCs w:val="24"/>
          <w:lang w:val="en-GB"/>
        </w:rPr>
      </w:pPr>
      <w:r>
        <w:rPr>
          <w:color w:val="C00000"/>
          <w:sz w:val="24"/>
          <w:szCs w:val="24"/>
          <w:u w:val="single"/>
          <w:lang w:val="en-GB"/>
        </w:rPr>
        <w:t>Communication and Connectivity knowledge area</w:t>
      </w:r>
      <w:r w:rsidR="004F0651" w:rsidRPr="004975CB">
        <w:rPr>
          <w:sz w:val="24"/>
          <w:szCs w:val="24"/>
          <w:lang w:val="en-GB"/>
        </w:rPr>
        <w:t>:</w:t>
      </w:r>
    </w:p>
    <w:p w14:paraId="186ACCF6" w14:textId="77777777" w:rsidR="00472FFC" w:rsidRPr="004F0651" w:rsidRDefault="004F0651" w:rsidP="00AE1362">
      <w:pPr>
        <w:pStyle w:val="Listenabsatz"/>
        <w:numPr>
          <w:ilvl w:val="1"/>
          <w:numId w:val="11"/>
        </w:numPr>
        <w:spacing w:line="276" w:lineRule="auto"/>
        <w:ind w:left="1800"/>
        <w:jc w:val="left"/>
        <w:rPr>
          <w:color w:val="000000"/>
          <w:sz w:val="24"/>
          <w:szCs w:val="24"/>
          <w:lang w:val="en-GB"/>
        </w:rPr>
      </w:pPr>
      <w:r w:rsidRPr="004F0651">
        <w:rPr>
          <w:color w:val="000000"/>
          <w:sz w:val="24"/>
          <w:szCs w:val="24"/>
          <w:lang w:val="en-GB"/>
        </w:rPr>
        <w:t>It covers test</w:t>
      </w:r>
      <w:r>
        <w:rPr>
          <w:color w:val="000000"/>
          <w:sz w:val="24"/>
          <w:szCs w:val="24"/>
          <w:lang w:val="en-GB"/>
        </w:rPr>
        <w:t xml:space="preserve">ing </w:t>
      </w:r>
      <w:r w:rsidRPr="004F0651">
        <w:rPr>
          <w:color w:val="000000"/>
          <w:sz w:val="24"/>
          <w:szCs w:val="24"/>
          <w:lang w:val="en-GB"/>
        </w:rPr>
        <w:t>of communication protocol layers</w:t>
      </w:r>
    </w:p>
    <w:p w14:paraId="5445BF20" w14:textId="77777777" w:rsidR="00472FFC" w:rsidRDefault="00472FFC" w:rsidP="00AE1362">
      <w:pPr>
        <w:pStyle w:val="Listenabsatz"/>
        <w:numPr>
          <w:ilvl w:val="0"/>
          <w:numId w:val="10"/>
        </w:numPr>
        <w:spacing w:line="276" w:lineRule="auto"/>
        <w:ind w:left="1080"/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u w:val="single"/>
          <w:lang w:val="en-GB"/>
        </w:rPr>
        <w:t>Integration/Interoperability knowledge area</w:t>
      </w:r>
      <w:r>
        <w:rPr>
          <w:sz w:val="24"/>
          <w:szCs w:val="24"/>
          <w:lang w:val="en-GB"/>
        </w:rPr>
        <w:t>:</w:t>
      </w:r>
    </w:p>
    <w:p w14:paraId="12C20C97" w14:textId="77777777" w:rsidR="004F0651" w:rsidRPr="002779E7" w:rsidRDefault="004F0651" w:rsidP="00AE1362">
      <w:pPr>
        <w:pStyle w:val="Listenabsatz"/>
        <w:numPr>
          <w:ilvl w:val="1"/>
          <w:numId w:val="10"/>
        </w:numPr>
        <w:suppressAutoHyphens/>
        <w:spacing w:line="276" w:lineRule="auto"/>
        <w:ind w:left="1800"/>
        <w:contextualSpacing w:val="0"/>
        <w:jc w:val="left"/>
        <w:rPr>
          <w:color w:val="000000" w:themeColor="text1"/>
          <w:sz w:val="24"/>
          <w:lang w:val="en-GB"/>
        </w:rPr>
      </w:pPr>
      <w:r w:rsidRPr="002779E7">
        <w:rPr>
          <w:color w:val="000000" w:themeColor="text1"/>
          <w:sz w:val="24"/>
          <w:lang w:val="en-GB"/>
        </w:rPr>
        <w:t xml:space="preserve">It covers mainly </w:t>
      </w:r>
      <w:r w:rsidR="002779E7" w:rsidRPr="002779E7">
        <w:rPr>
          <w:color w:val="000000" w:themeColor="text1"/>
          <w:sz w:val="24"/>
          <w:lang w:val="en-GB"/>
        </w:rPr>
        <w:t>testing</w:t>
      </w:r>
      <w:r w:rsidRPr="002779E7">
        <w:rPr>
          <w:color w:val="000000" w:themeColor="text1"/>
          <w:sz w:val="24"/>
          <w:lang w:val="en-GB"/>
        </w:rPr>
        <w:t xml:space="preserve"> of common IoT features required to provide integration and interoperability.</w:t>
      </w:r>
    </w:p>
    <w:p w14:paraId="3969A7CA" w14:textId="77777777" w:rsidR="00472FFC" w:rsidRDefault="00472FFC" w:rsidP="00AE1362">
      <w:pPr>
        <w:pStyle w:val="Listenabsatz"/>
        <w:numPr>
          <w:ilvl w:val="0"/>
          <w:numId w:val="11"/>
        </w:numPr>
        <w:spacing w:line="276" w:lineRule="auto"/>
        <w:ind w:left="1080"/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u w:val="single"/>
          <w:lang w:val="en-GB"/>
        </w:rPr>
        <w:t>Applications knowledge area</w:t>
      </w:r>
      <w:r>
        <w:rPr>
          <w:sz w:val="24"/>
          <w:szCs w:val="24"/>
          <w:lang w:val="en-GB"/>
        </w:rPr>
        <w:t>:</w:t>
      </w:r>
    </w:p>
    <w:p w14:paraId="2556CD4C" w14:textId="602D5CC0" w:rsidR="00A16A82" w:rsidRPr="00BC42C4" w:rsidRDefault="00BC42C4" w:rsidP="00A16A82">
      <w:pPr>
        <w:pStyle w:val="Listenabsatz"/>
        <w:numPr>
          <w:ilvl w:val="1"/>
          <w:numId w:val="10"/>
        </w:numPr>
        <w:suppressAutoHyphens/>
        <w:spacing w:line="276" w:lineRule="auto"/>
        <w:ind w:left="1800"/>
        <w:contextualSpacing w:val="0"/>
        <w:jc w:val="left"/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A</w:t>
      </w:r>
      <w:r w:rsidR="00472FFC" w:rsidRPr="00F24A31">
        <w:rPr>
          <w:color w:val="000000" w:themeColor="text1"/>
          <w:sz w:val="24"/>
          <w:lang w:val="en-GB"/>
        </w:rPr>
        <w:t xml:space="preserve">pplications </w:t>
      </w:r>
      <w:r w:rsidR="00F24A31" w:rsidRPr="00F24A31">
        <w:rPr>
          <w:color w:val="000000" w:themeColor="text1"/>
          <w:sz w:val="24"/>
          <w:lang w:val="en-GB"/>
        </w:rPr>
        <w:t>testing</w:t>
      </w:r>
      <w:r>
        <w:rPr>
          <w:color w:val="000000" w:themeColor="text1"/>
          <w:sz w:val="24"/>
          <w:lang w:val="en-GB"/>
        </w:rPr>
        <w:t xml:space="preserve"> may be included if specific applications has been identified as of general interest</w:t>
      </w:r>
      <w:r w:rsidR="00F24A31">
        <w:rPr>
          <w:color w:val="000000" w:themeColor="text1"/>
          <w:sz w:val="24"/>
          <w:lang w:val="en-GB"/>
        </w:rPr>
        <w:t>.</w:t>
      </w:r>
    </w:p>
    <w:p w14:paraId="0E0E9914" w14:textId="77777777" w:rsidR="00472FFC" w:rsidRDefault="00472FFC" w:rsidP="00AE1362">
      <w:pPr>
        <w:pStyle w:val="Listenabsatz"/>
        <w:numPr>
          <w:ilvl w:val="0"/>
          <w:numId w:val="11"/>
        </w:numPr>
        <w:spacing w:line="276" w:lineRule="auto"/>
        <w:ind w:left="1080"/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u w:val="single"/>
          <w:lang w:val="en-GB"/>
        </w:rPr>
        <w:t>Infrastructure knowledge area</w:t>
      </w:r>
      <w:r>
        <w:rPr>
          <w:sz w:val="24"/>
          <w:szCs w:val="24"/>
          <w:lang w:val="en-GB"/>
        </w:rPr>
        <w:t>:</w:t>
      </w:r>
    </w:p>
    <w:p w14:paraId="61135E25" w14:textId="77777777" w:rsidR="00556E6C" w:rsidRPr="00556E6C" w:rsidRDefault="00472FFC" w:rsidP="00AE1362">
      <w:pPr>
        <w:pStyle w:val="Listenabsatz"/>
        <w:numPr>
          <w:ilvl w:val="1"/>
          <w:numId w:val="11"/>
        </w:numPr>
        <w:spacing w:line="276" w:lineRule="auto"/>
        <w:ind w:left="1800"/>
        <w:jc w:val="left"/>
        <w:rPr>
          <w:color w:val="000000"/>
          <w:sz w:val="24"/>
          <w:szCs w:val="24"/>
          <w:lang w:val="en-GB"/>
        </w:rPr>
      </w:pPr>
      <w:r w:rsidRPr="00556E6C">
        <w:rPr>
          <w:color w:val="000000"/>
          <w:sz w:val="24"/>
          <w:szCs w:val="24"/>
          <w:lang w:val="en-GB"/>
        </w:rPr>
        <w:t xml:space="preserve">It covers aspects related to </w:t>
      </w:r>
      <w:r w:rsidR="00556E6C" w:rsidRPr="00556E6C">
        <w:rPr>
          <w:color w:val="000000"/>
          <w:sz w:val="24"/>
          <w:szCs w:val="24"/>
          <w:lang w:val="en-GB"/>
        </w:rPr>
        <w:t>testing during</w:t>
      </w:r>
      <w:r w:rsidRPr="00556E6C">
        <w:rPr>
          <w:color w:val="000000"/>
          <w:sz w:val="24"/>
          <w:szCs w:val="24"/>
          <w:lang w:val="en-GB"/>
        </w:rPr>
        <w:t xml:space="preserve"> design, deployment, </w:t>
      </w:r>
      <w:r w:rsidR="00556E6C" w:rsidRPr="00556E6C">
        <w:rPr>
          <w:color w:val="000000"/>
          <w:sz w:val="24"/>
          <w:szCs w:val="24"/>
          <w:lang w:val="en-GB"/>
        </w:rPr>
        <w:t>and operation.</w:t>
      </w:r>
    </w:p>
    <w:p w14:paraId="3F0F8F07" w14:textId="77777777" w:rsidR="00472FFC" w:rsidRDefault="00472FFC" w:rsidP="00AE1362">
      <w:pPr>
        <w:pStyle w:val="Listenabsatz"/>
        <w:numPr>
          <w:ilvl w:val="0"/>
          <w:numId w:val="12"/>
        </w:numPr>
        <w:spacing w:line="276" w:lineRule="auto"/>
        <w:ind w:left="1080"/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u w:val="single"/>
          <w:lang w:val="en-GB"/>
        </w:rPr>
        <w:t>IoT Architecture knowledge area</w:t>
      </w:r>
      <w:r>
        <w:rPr>
          <w:sz w:val="24"/>
          <w:szCs w:val="24"/>
          <w:lang w:val="en-GB"/>
        </w:rPr>
        <w:t>:</w:t>
      </w:r>
    </w:p>
    <w:p w14:paraId="52EED45C" w14:textId="1BD32944" w:rsidR="00472FFC" w:rsidRPr="002E4E15" w:rsidRDefault="00472FFC" w:rsidP="00AE1362">
      <w:pPr>
        <w:pStyle w:val="Listenabsatz"/>
        <w:numPr>
          <w:ilvl w:val="1"/>
          <w:numId w:val="12"/>
        </w:numPr>
        <w:spacing w:line="276" w:lineRule="auto"/>
        <w:ind w:left="1800"/>
        <w:jc w:val="left"/>
        <w:rPr>
          <w:sz w:val="24"/>
          <w:szCs w:val="24"/>
          <w:lang w:val="en-GB"/>
        </w:rPr>
      </w:pPr>
      <w:r w:rsidRPr="001E6519">
        <w:rPr>
          <w:sz w:val="24"/>
          <w:szCs w:val="24"/>
          <w:lang w:val="en-GB"/>
        </w:rPr>
        <w:t xml:space="preserve">It </w:t>
      </w:r>
      <w:r w:rsidR="002E4E15">
        <w:rPr>
          <w:sz w:val="24"/>
          <w:szCs w:val="24"/>
          <w:lang w:val="en-GB"/>
        </w:rPr>
        <w:t>may support</w:t>
      </w:r>
      <w:r w:rsidRPr="001E6519">
        <w:rPr>
          <w:sz w:val="24"/>
          <w:szCs w:val="24"/>
          <w:lang w:val="en-GB"/>
        </w:rPr>
        <w:t xml:space="preserve"> integrated/complete IoT </w:t>
      </w:r>
      <w:r w:rsidR="001E6519" w:rsidRPr="001E6519">
        <w:rPr>
          <w:sz w:val="24"/>
          <w:szCs w:val="24"/>
          <w:lang w:val="en-GB"/>
        </w:rPr>
        <w:t>testing</w:t>
      </w:r>
      <w:r w:rsidRPr="001E6519">
        <w:rPr>
          <w:sz w:val="24"/>
          <w:szCs w:val="24"/>
          <w:lang w:val="en-GB"/>
        </w:rPr>
        <w:t xml:space="preserve"> solutions, including </w:t>
      </w:r>
      <w:r w:rsidR="001E6519" w:rsidRPr="001E6519">
        <w:rPr>
          <w:sz w:val="24"/>
          <w:szCs w:val="24"/>
          <w:lang w:val="en-GB"/>
        </w:rPr>
        <w:t>aspects on performance</w:t>
      </w:r>
      <w:r w:rsidR="002E4E15">
        <w:rPr>
          <w:sz w:val="24"/>
          <w:szCs w:val="24"/>
          <w:lang w:val="en-GB"/>
        </w:rPr>
        <w:t>, but this is subject of the developer’s resources and decisions</w:t>
      </w:r>
      <w:r w:rsidRPr="001E6519">
        <w:rPr>
          <w:sz w:val="24"/>
          <w:szCs w:val="24"/>
          <w:lang w:val="en-GB"/>
        </w:rPr>
        <w:t>.</w:t>
      </w:r>
    </w:p>
    <w:p w14:paraId="2F55BEF1" w14:textId="77777777" w:rsidR="00472FFC" w:rsidRDefault="00472FFC" w:rsidP="00AE1362">
      <w:pPr>
        <w:pStyle w:val="Listenabsatz"/>
        <w:numPr>
          <w:ilvl w:val="0"/>
          <w:numId w:val="12"/>
        </w:numPr>
        <w:spacing w:line="276" w:lineRule="auto"/>
        <w:ind w:left="1080"/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u w:val="single"/>
          <w:lang w:val="en-GB"/>
        </w:rPr>
        <w:t>Devices and sensor technology knowledge area</w:t>
      </w:r>
      <w:r>
        <w:rPr>
          <w:sz w:val="24"/>
          <w:szCs w:val="24"/>
          <w:lang w:val="en-GB"/>
        </w:rPr>
        <w:t>:</w:t>
      </w:r>
    </w:p>
    <w:p w14:paraId="078ADE26" w14:textId="01FABC50" w:rsidR="00472FFC" w:rsidRPr="001159FF" w:rsidRDefault="00472FFC" w:rsidP="00AE1362">
      <w:pPr>
        <w:pStyle w:val="Listenabsatz"/>
        <w:numPr>
          <w:ilvl w:val="1"/>
          <w:numId w:val="11"/>
        </w:numPr>
        <w:spacing w:line="276" w:lineRule="auto"/>
        <w:ind w:left="1800"/>
        <w:jc w:val="left"/>
        <w:rPr>
          <w:color w:val="000000"/>
          <w:sz w:val="24"/>
          <w:szCs w:val="24"/>
          <w:lang w:val="en-GB"/>
        </w:rPr>
      </w:pPr>
      <w:r w:rsidRPr="001159FF">
        <w:rPr>
          <w:color w:val="000000"/>
          <w:sz w:val="24"/>
          <w:szCs w:val="24"/>
          <w:lang w:val="en-GB"/>
        </w:rPr>
        <w:t xml:space="preserve">It </w:t>
      </w:r>
      <w:r w:rsidR="001159FF" w:rsidRPr="001159FF">
        <w:rPr>
          <w:color w:val="000000"/>
          <w:sz w:val="24"/>
          <w:szCs w:val="24"/>
          <w:lang w:val="en-GB"/>
        </w:rPr>
        <w:t>do not exclude</w:t>
      </w:r>
      <w:r w:rsidRPr="001159FF">
        <w:rPr>
          <w:color w:val="000000"/>
          <w:sz w:val="24"/>
          <w:szCs w:val="24"/>
          <w:lang w:val="en-GB"/>
        </w:rPr>
        <w:t xml:space="preserve"> device/sensor lifecycles, operating systems, platforms, configuration management, senso</w:t>
      </w:r>
      <w:r w:rsidR="00BC42C4">
        <w:rPr>
          <w:color w:val="000000"/>
          <w:sz w:val="24"/>
          <w:szCs w:val="24"/>
          <w:lang w:val="en-GB"/>
        </w:rPr>
        <w:t>r/actuators virtualization etc.</w:t>
      </w:r>
      <w:r w:rsidR="00BC42C4">
        <w:rPr>
          <w:sz w:val="24"/>
          <w:szCs w:val="24"/>
          <w:lang w:val="en-GB"/>
        </w:rPr>
        <w:t>, but this is subject of the developer’s resources and decisions</w:t>
      </w:r>
      <w:r w:rsidR="00BC42C4" w:rsidRPr="001E6519">
        <w:rPr>
          <w:sz w:val="24"/>
          <w:szCs w:val="24"/>
          <w:lang w:val="en-GB"/>
        </w:rPr>
        <w:t>.</w:t>
      </w:r>
    </w:p>
    <w:p w14:paraId="75790CED" w14:textId="77777777" w:rsidR="00472FFC" w:rsidRPr="004F0651" w:rsidRDefault="00472FFC" w:rsidP="00AE1362">
      <w:pPr>
        <w:pStyle w:val="Listenabsatz"/>
        <w:numPr>
          <w:ilvl w:val="0"/>
          <w:numId w:val="13"/>
        </w:numPr>
        <w:spacing w:line="276" w:lineRule="auto"/>
        <w:ind w:left="1080"/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u w:val="single"/>
          <w:lang w:val="en-GB"/>
        </w:rPr>
        <w:t>Security and Privacy knowledge area</w:t>
      </w:r>
      <w:r w:rsidRPr="004F0651">
        <w:rPr>
          <w:sz w:val="24"/>
          <w:szCs w:val="24"/>
          <w:lang w:val="en-GB"/>
        </w:rPr>
        <w:t>:</w:t>
      </w:r>
    </w:p>
    <w:p w14:paraId="3FF1D7FC" w14:textId="77777777" w:rsidR="004F0651" w:rsidRPr="004F0651" w:rsidRDefault="004F0651" w:rsidP="00AE1362">
      <w:pPr>
        <w:pStyle w:val="Listenabsatz"/>
        <w:numPr>
          <w:ilvl w:val="1"/>
          <w:numId w:val="11"/>
        </w:numPr>
        <w:spacing w:line="276" w:lineRule="auto"/>
        <w:ind w:left="1800"/>
        <w:jc w:val="left"/>
        <w:rPr>
          <w:color w:val="000000"/>
          <w:sz w:val="24"/>
          <w:szCs w:val="24"/>
          <w:lang w:val="en-GB"/>
        </w:rPr>
      </w:pPr>
      <w:r w:rsidRPr="004F0651">
        <w:rPr>
          <w:color w:val="000000"/>
          <w:sz w:val="24"/>
          <w:szCs w:val="24"/>
          <w:lang w:val="en-GB"/>
        </w:rPr>
        <w:t>It will include fuzzing tests</w:t>
      </w:r>
      <w:r>
        <w:rPr>
          <w:color w:val="000000"/>
          <w:sz w:val="24"/>
          <w:szCs w:val="24"/>
          <w:lang w:val="en-GB"/>
        </w:rPr>
        <w:t>.</w:t>
      </w:r>
    </w:p>
    <w:p w14:paraId="3BF7AA00" w14:textId="77777777" w:rsidR="00472FFC" w:rsidRDefault="00472FFC" w:rsidP="00472FFC">
      <w:pPr>
        <w:rPr>
          <w:sz w:val="24"/>
          <w:szCs w:val="24"/>
          <w:lang w:val="en-GB"/>
        </w:rPr>
      </w:pPr>
    </w:p>
    <w:p w14:paraId="27419878" w14:textId="77777777" w:rsidR="00472FFC" w:rsidRDefault="00472FFC" w:rsidP="00AE1362">
      <w:pPr>
        <w:pStyle w:val="Listenabsatz"/>
        <w:numPr>
          <w:ilvl w:val="0"/>
          <w:numId w:val="1"/>
        </w:numPr>
        <w:jc w:val="left"/>
        <w:rPr>
          <w:sz w:val="24"/>
          <w:szCs w:val="24"/>
          <w:lang w:val="en-GB"/>
        </w:rPr>
      </w:pPr>
      <w:r>
        <w:rPr>
          <w:color w:val="C00000"/>
          <w:sz w:val="24"/>
          <w:szCs w:val="24"/>
          <w:lang w:val="en-GB"/>
        </w:rPr>
        <w:t>IPR Policy Available: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br/>
        <w:t xml:space="preserve">Eclipse Public License 1.0, </w:t>
      </w:r>
      <w:hyperlink r:id="rId5" w:history="1">
        <w:r>
          <w:rPr>
            <w:rStyle w:val="Hyperlink"/>
            <w:sz w:val="24"/>
            <w:szCs w:val="24"/>
            <w:lang w:val="en-GB"/>
          </w:rPr>
          <w:t>https://www.eclipse.org/org/documents/epl-v10.php</w:t>
        </w:r>
      </w:hyperlink>
      <w:r>
        <w:rPr>
          <w:sz w:val="24"/>
          <w:szCs w:val="24"/>
          <w:lang w:val="en-GB"/>
        </w:rPr>
        <w:t xml:space="preserve"> </w:t>
      </w:r>
    </w:p>
    <w:p w14:paraId="1A82FE99" w14:textId="77777777" w:rsidR="00472FFC" w:rsidRDefault="00472FFC" w:rsidP="00472FFC">
      <w:pPr>
        <w:pStyle w:val="Listenabsatz"/>
        <w:ind w:left="1080"/>
        <w:jc w:val="left"/>
        <w:rPr>
          <w:sz w:val="24"/>
          <w:szCs w:val="24"/>
          <w:lang w:val="en-GB"/>
        </w:rPr>
      </w:pPr>
    </w:p>
    <w:p w14:paraId="2E6E069B" w14:textId="77777777" w:rsidR="006B6806" w:rsidRPr="00AE1362" w:rsidRDefault="00472FFC" w:rsidP="00AE1362">
      <w:pPr>
        <w:pStyle w:val="Listenabsatz"/>
        <w:numPr>
          <w:ilvl w:val="0"/>
          <w:numId w:val="1"/>
        </w:numPr>
        <w:jc w:val="left"/>
        <w:rPr>
          <w:lang w:val="en-GB"/>
        </w:rPr>
      </w:pPr>
      <w:r>
        <w:rPr>
          <w:color w:val="C00000"/>
          <w:sz w:val="24"/>
          <w:szCs w:val="24"/>
          <w:lang w:val="en-GB"/>
        </w:rPr>
        <w:t>Specification Access</w:t>
      </w:r>
      <w:r>
        <w:rPr>
          <w:sz w:val="24"/>
          <w:szCs w:val="24"/>
          <w:lang w:val="en-GB"/>
        </w:rPr>
        <w:t xml:space="preserve">: </w:t>
      </w:r>
      <w:hyperlink r:id="rId6" w:history="1">
        <w:r>
          <w:rPr>
            <w:rStyle w:val="Hyperlink"/>
            <w:sz w:val="24"/>
            <w:szCs w:val="24"/>
            <w:lang w:val="en-GB"/>
          </w:rPr>
          <w:t>https://projects.eclipse.org/projects/technology.iottestware/developer</w:t>
        </w:r>
      </w:hyperlink>
      <w:r>
        <w:rPr>
          <w:sz w:val="24"/>
          <w:szCs w:val="24"/>
          <w:lang w:val="en-GB"/>
        </w:rPr>
        <w:t xml:space="preserve"> </w:t>
      </w:r>
    </w:p>
    <w:sectPr w:rsidR="006B6806" w:rsidRPr="00AE13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8E0"/>
    <w:multiLevelType w:val="multilevel"/>
    <w:tmpl w:val="107E12B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33121"/>
    <w:multiLevelType w:val="multilevel"/>
    <w:tmpl w:val="B1BAD9FC"/>
    <w:lvl w:ilvl="0">
      <w:start w:val="1"/>
      <w:numFmt w:val="bullet"/>
      <w:lvlText w:val=""/>
      <w:lvlJc w:val="left"/>
      <w:pPr>
        <w:ind w:left="-21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822AC6"/>
    <w:multiLevelType w:val="multilevel"/>
    <w:tmpl w:val="202A3502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BB19EA"/>
    <w:multiLevelType w:val="multilevel"/>
    <w:tmpl w:val="C4E0487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0242B4"/>
    <w:multiLevelType w:val="multilevel"/>
    <w:tmpl w:val="83FE0B3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8832DE"/>
    <w:multiLevelType w:val="multilevel"/>
    <w:tmpl w:val="3CC4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cs="OpenSymbol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cs="OpenSymbol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cs="OpenSymbol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cs="OpenSymbol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cs="OpenSymbol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cs="OpenSymbol" w:hint="eastAsia"/>
      </w:rPr>
    </w:lvl>
  </w:abstractNum>
  <w:abstractNum w:abstractNumId="6" w15:restartNumberingAfterBreak="0">
    <w:nsid w:val="50D831A1"/>
    <w:multiLevelType w:val="multilevel"/>
    <w:tmpl w:val="57DC28F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3456B8"/>
    <w:multiLevelType w:val="multilevel"/>
    <w:tmpl w:val="43CC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cs="OpenSymbol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cs="OpenSymbol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cs="OpenSymbol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cs="OpenSymbol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cs="OpenSymbol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cs="OpenSymbol" w:hint="eastAsia"/>
      </w:rPr>
    </w:lvl>
  </w:abstractNum>
  <w:abstractNum w:abstractNumId="8" w15:restartNumberingAfterBreak="0">
    <w:nsid w:val="619A295A"/>
    <w:multiLevelType w:val="hybridMultilevel"/>
    <w:tmpl w:val="24C89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73E42"/>
    <w:multiLevelType w:val="multilevel"/>
    <w:tmpl w:val="6254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cs="OpenSymbol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cs="OpenSymbol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cs="OpenSymbol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cs="OpenSymbol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cs="OpenSymbol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cs="OpenSymbol" w:hint="eastAsia"/>
      </w:rPr>
    </w:lvl>
  </w:abstractNum>
  <w:abstractNum w:abstractNumId="10" w15:restartNumberingAfterBreak="0">
    <w:nsid w:val="668C4982"/>
    <w:multiLevelType w:val="multilevel"/>
    <w:tmpl w:val="9352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cs="OpenSymbol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cs="OpenSymbol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cs="OpenSymbol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cs="OpenSymbol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cs="OpenSymbol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cs="OpenSymbol" w:hint="eastAsia"/>
      </w:rPr>
    </w:lvl>
  </w:abstractNum>
  <w:abstractNum w:abstractNumId="11" w15:restartNumberingAfterBreak="0">
    <w:nsid w:val="76A5689F"/>
    <w:multiLevelType w:val="multilevel"/>
    <w:tmpl w:val="9C4A5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5B53D6"/>
    <w:multiLevelType w:val="multilevel"/>
    <w:tmpl w:val="FC30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cs="OpenSymbol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cs="OpenSymbol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cs="OpenSymbol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cs="OpenSymbol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cs="OpenSymbol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cs="OpenSymbol" w:hint="eastAsia"/>
      </w:rPr>
    </w:lvl>
  </w:abstractNum>
  <w:abstractNum w:abstractNumId="13" w15:restartNumberingAfterBreak="0">
    <w:nsid w:val="7E2A6BA1"/>
    <w:multiLevelType w:val="multilevel"/>
    <w:tmpl w:val="E6C01A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7"/>
  </w:num>
  <w:num w:numId="8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FC"/>
    <w:rsid w:val="001159FF"/>
    <w:rsid w:val="00185D5C"/>
    <w:rsid w:val="001C6A4C"/>
    <w:rsid w:val="001D38CB"/>
    <w:rsid w:val="001E6519"/>
    <w:rsid w:val="00202350"/>
    <w:rsid w:val="00207D87"/>
    <w:rsid w:val="00255F2A"/>
    <w:rsid w:val="002779E7"/>
    <w:rsid w:val="00286F6C"/>
    <w:rsid w:val="002E4E15"/>
    <w:rsid w:val="00302CFF"/>
    <w:rsid w:val="00321B37"/>
    <w:rsid w:val="00472FFC"/>
    <w:rsid w:val="004975CB"/>
    <w:rsid w:val="004C2E1D"/>
    <w:rsid w:val="004F0651"/>
    <w:rsid w:val="005074FF"/>
    <w:rsid w:val="00542C85"/>
    <w:rsid w:val="00550892"/>
    <w:rsid w:val="00556E6C"/>
    <w:rsid w:val="00574961"/>
    <w:rsid w:val="00586062"/>
    <w:rsid w:val="005B58C3"/>
    <w:rsid w:val="005F757C"/>
    <w:rsid w:val="00667848"/>
    <w:rsid w:val="006A5CF4"/>
    <w:rsid w:val="006B6806"/>
    <w:rsid w:val="006F2E28"/>
    <w:rsid w:val="007E0A3D"/>
    <w:rsid w:val="00816A13"/>
    <w:rsid w:val="00877379"/>
    <w:rsid w:val="0093376D"/>
    <w:rsid w:val="00977541"/>
    <w:rsid w:val="009D0CD1"/>
    <w:rsid w:val="00A16A82"/>
    <w:rsid w:val="00A70878"/>
    <w:rsid w:val="00A727EF"/>
    <w:rsid w:val="00AD17AD"/>
    <w:rsid w:val="00AD52AE"/>
    <w:rsid w:val="00AE1362"/>
    <w:rsid w:val="00AE33E8"/>
    <w:rsid w:val="00AE7692"/>
    <w:rsid w:val="00BC18D0"/>
    <w:rsid w:val="00BC42C4"/>
    <w:rsid w:val="00C0209F"/>
    <w:rsid w:val="00C05BDA"/>
    <w:rsid w:val="00C76218"/>
    <w:rsid w:val="00C77844"/>
    <w:rsid w:val="00CA5399"/>
    <w:rsid w:val="00CD52DE"/>
    <w:rsid w:val="00D24478"/>
    <w:rsid w:val="00D81FE4"/>
    <w:rsid w:val="00DD53A9"/>
    <w:rsid w:val="00DD6602"/>
    <w:rsid w:val="00E15B2F"/>
    <w:rsid w:val="00E419E0"/>
    <w:rsid w:val="00E858A8"/>
    <w:rsid w:val="00EE04BC"/>
    <w:rsid w:val="00F22564"/>
    <w:rsid w:val="00F24A31"/>
    <w:rsid w:val="00F6014B"/>
    <w:rsid w:val="00FD2557"/>
    <w:rsid w:val="00FF1208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B4A0"/>
  <w15:chartTrackingRefBased/>
  <w15:docId w15:val="{0F40D9D7-10E4-4EBC-9CD2-AB52C0B0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2FFC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A727EF"/>
    <w:pPr>
      <w:keepNext/>
      <w:widowControl w:val="0"/>
      <w:numPr>
        <w:numId w:val="15"/>
      </w:numPr>
      <w:spacing w:before="240" w:after="120"/>
      <w:outlineLvl w:val="0"/>
    </w:pPr>
    <w:rPr>
      <w:rFonts w:eastAsia="Calibri"/>
      <w:b/>
      <w:kern w:val="28"/>
      <w:sz w:val="28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A727EF"/>
    <w:pPr>
      <w:keepNext/>
      <w:widowControl w:val="0"/>
      <w:spacing w:before="120" w:after="120"/>
      <w:outlineLvl w:val="2"/>
    </w:pPr>
    <w:rPr>
      <w:rFonts w:eastAsia="Calibri"/>
      <w:b/>
      <w:i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72FFC"/>
    <w:rPr>
      <w:color w:val="0563C1"/>
      <w:u w:val="single"/>
    </w:rPr>
  </w:style>
  <w:style w:type="character" w:customStyle="1" w:styleId="ListenabsatzZchn">
    <w:name w:val="Listenabsatz Zchn"/>
    <w:aliases w:val="Task Body Zchn,Viñetas (Inicio Parrafo) Zchn,3 Txt tabla Zchn,Zerrenda-paragrafoa Zchn,Lista multicolor - Énfasis 11 Zchn"/>
    <w:basedOn w:val="Absatz-Standardschriftart"/>
    <w:link w:val="Listenabsatz"/>
    <w:uiPriority w:val="34"/>
    <w:qFormat/>
    <w:locked/>
    <w:rsid w:val="00472FFC"/>
    <w:rPr>
      <w:rFonts w:ascii="Calibri" w:hAnsi="Calibri" w:cs="Calibri"/>
    </w:rPr>
  </w:style>
  <w:style w:type="paragraph" w:styleId="Listenabsatz">
    <w:name w:val="List Paragraph"/>
    <w:aliases w:val="Task Body,Viñetas (Inicio Parrafo),3 Txt tabla,Zerrenda-paragrafoa,Lista multicolor - Énfasis 11"/>
    <w:basedOn w:val="Standard"/>
    <w:link w:val="ListenabsatzZchn"/>
    <w:uiPriority w:val="34"/>
    <w:qFormat/>
    <w:rsid w:val="00472FFC"/>
    <w:pPr>
      <w:ind w:left="720"/>
      <w:contextualSpacing/>
    </w:pPr>
    <w:rPr>
      <w:rFonts w:ascii="Calibri" w:hAnsi="Calibri" w:cs="Calibri"/>
    </w:rPr>
  </w:style>
  <w:style w:type="character" w:customStyle="1" w:styleId="berschrift1Zchn">
    <w:name w:val="Überschrift 1 Zchn"/>
    <w:basedOn w:val="Absatz-Standardschriftart"/>
    <w:link w:val="berschrift1"/>
    <w:rsid w:val="00A727EF"/>
    <w:rPr>
      <w:rFonts w:ascii="Times New Roman" w:eastAsia="Calibri" w:hAnsi="Times New Roman" w:cs="Times New Roman"/>
      <w:b/>
      <w:kern w:val="28"/>
      <w:sz w:val="28"/>
      <w:szCs w:val="20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A727EF"/>
    <w:rPr>
      <w:rFonts w:ascii="Times New Roman" w:eastAsia="Calibri" w:hAnsi="Times New Roman" w:cs="Times New Roman"/>
      <w:b/>
      <w:i/>
      <w:szCs w:val="20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E04BC"/>
    <w:rPr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E04BC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A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cts.eclipse.org/projects/technology.iottestware/developer" TargetMode="External"/><Relationship Id="rId5" Type="http://schemas.openxmlformats.org/officeDocument/2006/relationships/hyperlink" Target="https://www.eclipse.org/org/documents/epl-v10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Rennoch</dc:creator>
  <cp:keywords/>
  <dc:description/>
  <cp:lastModifiedBy>Axel Rennoch</cp:lastModifiedBy>
  <cp:revision>3</cp:revision>
  <dcterms:created xsi:type="dcterms:W3CDTF">2017-09-29T15:44:00Z</dcterms:created>
  <dcterms:modified xsi:type="dcterms:W3CDTF">2017-09-29T15:44:00Z</dcterms:modified>
</cp:coreProperties>
</file>